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8943" w14:textId="77777777" w:rsidR="00460641" w:rsidRDefault="001249B0" w:rsidP="00460641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rFonts w:hint="eastAsia"/>
          <w:color w:val="000000"/>
          <w:sz w:val="36"/>
          <w:szCs w:val="36"/>
        </w:rPr>
        <w:t xml:space="preserve"> </w:t>
      </w:r>
      <w:r>
        <w:rPr>
          <w:rStyle w:val="a8"/>
          <w:color w:val="000000"/>
          <w:sz w:val="36"/>
          <w:szCs w:val="36"/>
        </w:rPr>
        <w:tab/>
      </w:r>
      <w:r w:rsidR="00460641">
        <w:rPr>
          <w:rStyle w:val="a8"/>
          <w:rFonts w:hint="eastAsia"/>
          <w:color w:val="000000"/>
          <w:sz w:val="36"/>
          <w:szCs w:val="36"/>
        </w:rPr>
        <w:t>《</w:t>
      </w:r>
      <w:r w:rsidR="00685100">
        <w:rPr>
          <w:rStyle w:val="a8"/>
          <w:rFonts w:hint="eastAsia"/>
          <w:color w:val="000000"/>
          <w:sz w:val="36"/>
          <w:szCs w:val="36"/>
        </w:rPr>
        <w:t>台湾历史</w:t>
      </w:r>
      <w:r w:rsidR="00460641">
        <w:rPr>
          <w:rStyle w:val="a8"/>
          <w:rFonts w:hint="eastAsia"/>
          <w:color w:val="000000"/>
          <w:sz w:val="36"/>
          <w:szCs w:val="36"/>
        </w:rPr>
        <w:t>研究》技术处理规定</w:t>
      </w:r>
    </w:p>
    <w:p w14:paraId="218B800C" w14:textId="77777777" w:rsidR="003A6C32" w:rsidRPr="003A6C32" w:rsidRDefault="003A6C32" w:rsidP="00460641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18"/>
          <w:szCs w:val="18"/>
        </w:rPr>
      </w:pPr>
      <w:r w:rsidRPr="003A6C32">
        <w:rPr>
          <w:rStyle w:val="a8"/>
          <w:rFonts w:hint="eastAsia"/>
          <w:color w:val="000000"/>
          <w:sz w:val="18"/>
          <w:szCs w:val="18"/>
        </w:rPr>
        <w:t>（</w:t>
      </w:r>
      <w:r>
        <w:rPr>
          <w:rStyle w:val="a8"/>
          <w:rFonts w:hint="eastAsia"/>
          <w:color w:val="000000"/>
          <w:sz w:val="18"/>
          <w:szCs w:val="18"/>
        </w:rPr>
        <w:t>参照</w:t>
      </w:r>
      <w:r w:rsidRPr="003A6C32">
        <w:rPr>
          <w:rStyle w:val="a8"/>
          <w:rFonts w:hint="eastAsia"/>
          <w:color w:val="000000"/>
          <w:sz w:val="18"/>
          <w:szCs w:val="18"/>
        </w:rPr>
        <w:t>《近代史研究》技术处理规定</w:t>
      </w:r>
      <w:r>
        <w:rPr>
          <w:rStyle w:val="a8"/>
          <w:rFonts w:hint="eastAsia"/>
          <w:color w:val="000000"/>
          <w:sz w:val="18"/>
          <w:szCs w:val="18"/>
        </w:rPr>
        <w:t>拟定</w:t>
      </w:r>
      <w:r w:rsidRPr="003A6C32">
        <w:rPr>
          <w:rStyle w:val="a8"/>
          <w:rFonts w:hint="eastAsia"/>
          <w:color w:val="000000"/>
          <w:sz w:val="18"/>
          <w:szCs w:val="18"/>
        </w:rPr>
        <w:t>）</w:t>
      </w:r>
    </w:p>
    <w:p w14:paraId="7FBC0261" w14:textId="77777777" w:rsidR="00460641" w:rsidRDefault="00460641" w:rsidP="00685100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隶书" w:eastAsia="隶书" w:hint="eastAsia"/>
          <w:color w:val="000000"/>
          <w:sz w:val="32"/>
          <w:szCs w:val="32"/>
        </w:rPr>
        <w:t> </w:t>
      </w:r>
    </w:p>
    <w:p w14:paraId="6AB4420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rFonts w:ascii="隶书" w:eastAsia="隶书" w:hint="eastAsia"/>
          <w:color w:val="000000"/>
          <w:sz w:val="32"/>
          <w:szCs w:val="32"/>
        </w:rPr>
        <w:t>一、数字的用法</w:t>
      </w:r>
    </w:p>
    <w:p w14:paraId="20557A2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firstLine="129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 </w:t>
      </w:r>
    </w:p>
    <w:p w14:paraId="0A3D11A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（一）总的原则</w:t>
      </w:r>
    </w:p>
    <w:p w14:paraId="63DBE0F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凡是可以使用阿拉伯数字而且又很得体的地方，均应使用阿拉伯数字。遇特殊情况可以灵活变通，但应保持相对统一。</w:t>
      </w:r>
    </w:p>
    <w:p w14:paraId="0551D8F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Calibri" w:eastAsia="黑体" w:hAnsi="Calibri" w:cs="Calibri"/>
          <w:color w:val="000000"/>
          <w:sz w:val="21"/>
          <w:szCs w:val="21"/>
        </w:rPr>
        <w:t> </w:t>
      </w:r>
    </w:p>
    <w:p w14:paraId="2FFC696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（二）应当使用阿拉伯数字的情况</w:t>
      </w:r>
    </w:p>
    <w:p w14:paraId="01642B5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1.公历世纪、年代、年、月、日、时刻。</w:t>
      </w:r>
    </w:p>
    <w:p w14:paraId="7ADFBF22" w14:textId="2238B8AF" w:rsidR="00460641" w:rsidRDefault="00460641" w:rsidP="007F46AE">
      <w:pPr>
        <w:pStyle w:val="a7"/>
        <w:shd w:val="clear" w:color="auto" w:fill="FFFFFF"/>
        <w:spacing w:before="0" w:beforeAutospacing="0" w:after="0" w:afterAutospacing="0" w:line="360" w:lineRule="atLeast"/>
        <w:ind w:firstLineChars="100"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公元前8世纪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20世纪30年代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1946年2月1日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>9时30分36秒 道光年间（1821——1850）</w:t>
      </w:r>
    </w:p>
    <w:p w14:paraId="74B4785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1．1 年份不应简写：如：1940年不应简作“四○年”或“40年”，1930—1935年不应简作“1930—35年”。</w:t>
      </w:r>
    </w:p>
    <w:p w14:paraId="4A79395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1．2日本年号纪年使用阿拉伯数字，如：昭和16年（1941）；1949年10月1日以后中国纪年统一使用公历。</w:t>
      </w:r>
    </w:p>
    <w:p w14:paraId="279A483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2．物理量值必须使用阿拉伯数字； 非物理量值一般情况下应使用阿拉伯数字（同一篇文章应统一）。</w:t>
      </w:r>
    </w:p>
    <w:p w14:paraId="64D1AFA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876千米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600克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45万元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48岁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11个月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>30名</w:t>
      </w:r>
    </w:p>
    <w:p w14:paraId="5B4DCBE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2．1 百分数不能简写，如30%-60%不能写作30-60%。</w:t>
      </w:r>
    </w:p>
    <w:p w14:paraId="5293418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2．2</w:t>
      </w:r>
      <w:r>
        <w:rPr>
          <w:rFonts w:ascii="Calibri" w:eastAsia="黑体" w:hAnsi="Calibri" w:cs="Calibri"/>
          <w:color w:val="000000"/>
          <w:sz w:val="21"/>
          <w:szCs w:val="21"/>
        </w:rPr>
        <w:t>  </w:t>
      </w:r>
      <w:r>
        <w:rPr>
          <w:rFonts w:ascii="黑体" w:eastAsia="黑体" w:hAnsi="黑体" w:hint="eastAsia"/>
          <w:color w:val="000000"/>
          <w:sz w:val="21"/>
          <w:szCs w:val="21"/>
        </w:rPr>
        <w:t>4位和4位以上的数字不分节；5位以上的数字，尾数零多的（需表明精确度的除外），可改写为以万、亿作单位的数。一般情况下不得以十、百、千、十万、百万、千万、十亿、百亿、千亿作单位，如：345000000吨，可改写为3.45亿吨或34500万吨，不能写作3亿4500万吨或3亿4千5百万吨；用阿拉伯数字书写的数值不应断开移行。</w:t>
      </w:r>
    </w:p>
    <w:p w14:paraId="7645496E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ascii="Calibri" w:eastAsia="黑体" w:hAnsi="Calibri" w:cs="Calibri"/>
          <w:color w:val="000000"/>
          <w:sz w:val="21"/>
          <w:szCs w:val="21"/>
        </w:rPr>
        <w:t> </w:t>
      </w:r>
    </w:p>
    <w:p w14:paraId="5B1EF10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(三)应当使用汉字的情况</w:t>
      </w:r>
    </w:p>
    <w:p w14:paraId="4D1275B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1.定型的词、词组、成语、惯用语、缩略语或具有修辞色彩的词语中作为语素的数字，必须用汉字。</w:t>
      </w:r>
    </w:p>
    <w:p w14:paraId="583B8A5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>八国联军</w:t>
      </w:r>
      <w:r>
        <w:rPr>
          <w:rFonts w:ascii="楷体_GB2312" w:eastAsia="楷体_GB2312" w:hint="eastAsia"/>
          <w:color w:val="000000"/>
          <w:sz w:val="21"/>
          <w:szCs w:val="21"/>
        </w:rPr>
        <w:t>   </w:t>
      </w:r>
      <w:r>
        <w:rPr>
          <w:rFonts w:ascii="楷体_GB2312" w:eastAsia="楷体_GB2312" w:hint="eastAsia"/>
          <w:color w:val="000000"/>
          <w:sz w:val="21"/>
          <w:szCs w:val="21"/>
        </w:rPr>
        <w:t>第四方面军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二万五千里长征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五四运动</w:t>
      </w:r>
      <w:r>
        <w:rPr>
          <w:rFonts w:ascii="楷体_GB2312" w:eastAsia="楷体_GB2312" w:hint="eastAsia"/>
          <w:color w:val="000000"/>
          <w:sz w:val="21"/>
          <w:szCs w:val="21"/>
        </w:rPr>
        <w:t>   </w:t>
      </w:r>
      <w:r>
        <w:rPr>
          <w:rFonts w:ascii="楷体_GB2312" w:eastAsia="楷体_GB2312" w:hint="eastAsia"/>
          <w:color w:val="000000"/>
          <w:sz w:val="21"/>
          <w:szCs w:val="21"/>
        </w:rPr>
        <w:t>十月十七日同盟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相差十万八千里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七届二中全会</w:t>
      </w:r>
    </w:p>
    <w:p w14:paraId="7F37B5D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2．中国干支纪年和夏历年月。</w:t>
      </w:r>
    </w:p>
    <w:p w14:paraId="174747A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丙寅年十月十五日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正月初五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</w:p>
    <w:p w14:paraId="2494B00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3．清代和清代以前的历史纪年、各民族的非公历纪年。</w:t>
      </w:r>
    </w:p>
    <w:p w14:paraId="7730E42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天平天国庚申十年九月二十四日（清咸丰十年九月二十日，1860年11月2日）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>藏历阳木龙年八月二十六日（1964年10月1日）</w:t>
      </w:r>
    </w:p>
    <w:p w14:paraId="29AD016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lastRenderedPageBreak/>
        <w:t>4．含有日月简称，表示事件、节日和其他意义的词组（如果涉及一月、十一月、十二月，应用间隔号“· ”将表示月和日的数字隔开，数字部分用引号标示，但知名度高的简称可不加引号和中圆点）。</w:t>
      </w:r>
    </w:p>
    <w:p w14:paraId="6D1AF16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五卅运动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九一八事变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五一国际劳动节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“一·二八”事件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“一·一七”批示 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3DAAFBD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一二九运动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</w:p>
    <w:p w14:paraId="638C4CA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5．概数、约数、分数</w:t>
      </w:r>
    </w:p>
    <w:p w14:paraId="1864C16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（1）相邻的两个数字并列使用表示概数，须用汉字，连用的两个数字之间不必用顿号隔开。</w:t>
      </w:r>
    </w:p>
    <w:p w14:paraId="6C5CBBD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二三米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一两个小时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一二十个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四十五六岁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</w:p>
    <w:p w14:paraId="3C9E6FF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（2）带有“几”字的数字表示约数，必须用汉字。</w:t>
      </w:r>
    </w:p>
    <w:p w14:paraId="2539EFD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几千年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十几天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几十万分之一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  <w:r>
        <w:rPr>
          <w:rFonts w:ascii="楷体_GB2312" w:eastAsia="楷体_GB2312" w:hint="eastAsia"/>
          <w:color w:val="000000"/>
          <w:sz w:val="21"/>
          <w:szCs w:val="21"/>
        </w:rPr>
        <w:t>一百几十次</w:t>
      </w:r>
    </w:p>
    <w:p w14:paraId="3AB2927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（3）用“多”“余”“左右”“上下”“约”等表示的约数一般用阿拉伯数字。</w:t>
      </w:r>
    </w:p>
    <w:p w14:paraId="6FA917F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在去沧州的道路上，分布着大小不一的村落。一个名叫马营的村共25户，仔村仅3户，又有400余户的大村名王墟祠。</w:t>
      </w:r>
    </w:p>
    <w:p w14:paraId="45098F4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（4）分数用阿拉伯数字表示，分子、分母中间用斜杠。</w:t>
      </w:r>
    </w:p>
    <w:p w14:paraId="1AC9D51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2/3、1/5</w:t>
      </w:r>
    </w:p>
    <w:p w14:paraId="4C00550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firstLine="420"/>
        <w:rPr>
          <w:color w:val="000000"/>
          <w:sz w:val="27"/>
          <w:szCs w:val="27"/>
        </w:rPr>
      </w:pPr>
      <w:r>
        <w:rPr>
          <w:rStyle w:val="a8"/>
          <w:rFonts w:ascii="Times New Roman" w:hAnsi="Times New Roman" w:cs="Times New Roman"/>
          <w:color w:val="000000"/>
          <w:sz w:val="21"/>
          <w:szCs w:val="21"/>
        </w:rPr>
        <w:t> </w:t>
      </w:r>
    </w:p>
    <w:p w14:paraId="43C9E10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rFonts w:ascii="隶书" w:eastAsia="隶书" w:hint="eastAsia"/>
          <w:color w:val="000000"/>
          <w:sz w:val="32"/>
          <w:szCs w:val="32"/>
        </w:rPr>
        <w:t>二、标点符号的用法</w:t>
      </w:r>
    </w:p>
    <w:p w14:paraId="32CB99D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rFonts w:ascii="Times New Roman" w:hAnsi="Times New Roman" w:cs="Times New Roman"/>
          <w:color w:val="000000"/>
          <w:sz w:val="21"/>
          <w:szCs w:val="21"/>
        </w:rPr>
        <w:t> </w:t>
      </w:r>
    </w:p>
    <w:p w14:paraId="47D8EEE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（一）括号</w:t>
      </w:r>
    </w:p>
    <w:p w14:paraId="6852A13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1．解释、说明，用（ ）。</w:t>
      </w:r>
    </w:p>
    <w:p w14:paraId="44FF676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“鲁（涤平）率部走平（江）、浏（阳），后入江西。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152F1C5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例：《统一语言说》（佚名），《中外日报》，1906年9月23日，第1版。</w:t>
      </w:r>
    </w:p>
    <w:p w14:paraId="4B5EC60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2．补充缺字，用［］。</w:t>
      </w:r>
    </w:p>
    <w:p w14:paraId="0DDF58D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“今与湘何键、滇卢汉面订计划，决于本［月］底湘滇兵力集中桂边。”</w:t>
      </w:r>
    </w:p>
    <w:p w14:paraId="4C5F7A8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3．标明衍字,用〈〉。</w:t>
      </w:r>
    </w:p>
    <w:p w14:paraId="05EC921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“它底基础一天巩固〈了〉一天，它底势力一天强盛一天……”</w:t>
      </w:r>
    </w:p>
    <w:p w14:paraId="5FAE532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21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4．改正错误,用〔〕。</w:t>
      </w:r>
    </w:p>
    <w:p w14:paraId="3DB8D93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“帝国主义对于它底势力一天寒〔害〕怕一天。”</w:t>
      </w:r>
    </w:p>
    <w:p w14:paraId="7772930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315"/>
        <w:rPr>
          <w:color w:val="000000"/>
          <w:sz w:val="27"/>
          <w:szCs w:val="27"/>
        </w:rPr>
      </w:pPr>
      <w:r>
        <w:rPr>
          <w:rStyle w:val="a8"/>
          <w:rFonts w:ascii="Calibri" w:eastAsia="黑体" w:hAnsi="Calibri" w:cs="Calibri"/>
          <w:color w:val="000000"/>
          <w:sz w:val="21"/>
          <w:szCs w:val="21"/>
        </w:rPr>
        <w:t> </w:t>
      </w:r>
    </w:p>
    <w:p w14:paraId="017EA71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315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（二）注释号与标点符号的顺序</w:t>
      </w:r>
    </w:p>
    <w:p w14:paraId="72DDF93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1．注释号与逗号、分号、顿号等句内标点符号的顺序：一律注释号在前。</w:t>
      </w:r>
    </w:p>
    <w:p w14:paraId="48AFCD7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早在1930年就有人提出，如何使中国“别出机枢，卓然有以自立”①，应当成为中国社会科学者努力的方向。</w:t>
      </w:r>
    </w:p>
    <w:p w14:paraId="1B69281E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光绪二十四年七月底，光绪帝已有心要安置康有为、梁启超①；康有为一派也大发其攻势。</w:t>
      </w:r>
    </w:p>
    <w:p w14:paraId="2C34C5F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2．注释号与句号、问号、叹号、删节号等句末标点符号的顺序：一律注释号在后。</w:t>
      </w:r>
    </w:p>
    <w:p w14:paraId="7F9C527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孙中山迫于此种形势，也不得不向袁世凯表示“暂时承乏，而虚位以待”。①</w:t>
      </w:r>
    </w:p>
    <w:p w14:paraId="2B15DF4E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金毓黻读皮锡瑞《经学历史》，感悟道：“皮鹿门……只知实事求是，不知有门户之争，是最可师法者矣！”①</w:t>
      </w:r>
    </w:p>
    <w:p w14:paraId="01246EE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18"/>
          <w:szCs w:val="18"/>
        </w:rPr>
        <w:t> </w:t>
      </w:r>
    </w:p>
    <w:p w14:paraId="6DBF7D4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rFonts w:ascii="隶书" w:eastAsia="隶书" w:hint="eastAsia"/>
          <w:color w:val="000000"/>
          <w:sz w:val="32"/>
          <w:szCs w:val="32"/>
        </w:rPr>
        <w:t>三、注释规范</w:t>
      </w:r>
    </w:p>
    <w:p w14:paraId="6635826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rFonts w:ascii="Calibri" w:eastAsia="黑体" w:hAnsi="Calibri" w:cs="Calibri"/>
          <w:color w:val="000000"/>
          <w:sz w:val="21"/>
          <w:szCs w:val="21"/>
        </w:rPr>
        <w:t> </w:t>
      </w:r>
    </w:p>
    <w:p w14:paraId="2DD79F2D" w14:textId="77777777" w:rsidR="00460641" w:rsidRDefault="00460641" w:rsidP="007F46AE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22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b/>
          <w:bCs/>
          <w:color w:val="000000"/>
          <w:sz w:val="21"/>
          <w:szCs w:val="21"/>
        </w:rPr>
        <w:t>（一）</w:t>
      </w:r>
      <w:r>
        <w:rPr>
          <w:rFonts w:ascii="Calibri" w:eastAsia="黑体" w:hAnsi="Calibri" w:cs="Calibri"/>
          <w:b/>
          <w:bCs/>
          <w:color w:val="000000"/>
          <w:sz w:val="21"/>
          <w:szCs w:val="21"/>
        </w:rPr>
        <w:t> </w:t>
      </w: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原则与要求</w:t>
      </w:r>
    </w:p>
    <w:p w14:paraId="44025651" w14:textId="48459E06" w:rsidR="00460641" w:rsidRDefault="00460641" w:rsidP="007F46AE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22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1. </w:t>
      </w:r>
      <w:r>
        <w:rPr>
          <w:rStyle w:val="a8"/>
          <w:rFonts w:hint="eastAsia"/>
          <w:color w:val="000000"/>
          <w:sz w:val="21"/>
          <w:szCs w:val="21"/>
        </w:rPr>
        <w:t>注释一律采用脚注，</w:t>
      </w:r>
      <w:r w:rsidR="00AE2CF8">
        <w:rPr>
          <w:rStyle w:val="a8"/>
          <w:rFonts w:hint="eastAsia"/>
          <w:color w:val="000000"/>
          <w:sz w:val="21"/>
          <w:szCs w:val="21"/>
        </w:rPr>
        <w:t>每页重新</w:t>
      </w:r>
      <w:r>
        <w:rPr>
          <w:rStyle w:val="a8"/>
          <w:rFonts w:hint="eastAsia"/>
          <w:color w:val="000000"/>
          <w:sz w:val="21"/>
          <w:szCs w:val="21"/>
        </w:rPr>
        <w:t>编码，不用尾注。</w:t>
      </w:r>
    </w:p>
    <w:p w14:paraId="71EFB2AA" w14:textId="7511E7AA" w:rsidR="00460641" w:rsidRDefault="00460641" w:rsidP="007F46AE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22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2. </w:t>
      </w:r>
      <w:r>
        <w:rPr>
          <w:rStyle w:val="a8"/>
          <w:rFonts w:hint="eastAsia"/>
          <w:color w:val="000000"/>
          <w:sz w:val="21"/>
          <w:szCs w:val="21"/>
        </w:rPr>
        <w:t>每一条注都要有独立的注文，不得将散在各处、出处相同的注合并标注，亦不用“同上”、“同注①”等注法。</w:t>
      </w:r>
    </w:p>
    <w:p w14:paraId="13A6265C" w14:textId="77777777" w:rsidR="00460641" w:rsidRDefault="00460641" w:rsidP="007F46AE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22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3. </w:t>
      </w:r>
      <w:r>
        <w:rPr>
          <w:rStyle w:val="a8"/>
          <w:rFonts w:hint="eastAsia"/>
          <w:color w:val="000000"/>
          <w:sz w:val="21"/>
          <w:szCs w:val="21"/>
        </w:rPr>
        <w:t>一个自然段的引文引自同一出处，在该自然段的最后一并标注出处。连续几个自然段</w:t>
      </w:r>
    </w:p>
    <w:p w14:paraId="681A61F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的引文引自同一出处，在每个自然段的最后标注出处；也可以在第一自然段最后的注释中注明：“本段及以下几段均出自……”。</w:t>
      </w:r>
    </w:p>
    <w:p w14:paraId="572D836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 </w:t>
      </w:r>
    </w:p>
    <w:p w14:paraId="08168FC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（二）注释方法</w:t>
      </w:r>
    </w:p>
    <w:p w14:paraId="6496E08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1．普通图书。</w:t>
      </w:r>
    </w:p>
    <w:p w14:paraId="0B311C2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52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标注的项目及顺序为：①责任者姓名与责任性质；②书名；③卷册数；④出版信息；⑤页码。</w:t>
      </w:r>
    </w:p>
    <w:p w14:paraId="7610B31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（1）责任者及责任性质。</w:t>
      </w:r>
      <w:r>
        <w:rPr>
          <w:rFonts w:hint="eastAsia"/>
          <w:color w:val="000000"/>
          <w:sz w:val="21"/>
          <w:szCs w:val="21"/>
        </w:rPr>
        <w:t>如果是撰著，在姓名后直接加冒号，如果是编、校注等其他形式，需在姓名后加编、校注等字样；责任性质不同的责任者，中间用逗号隔开；责任性质相同的两个或三个责任者，中间用顿号隔开；有三个以上责任者时，只取第一责任者名字，其后加一“等”字。责任者为机构、团体等时，表示方法与个人责任者同。外文著作的中译本翻译者作为第二责任者置于作者姓名之后；再次征引同一著作时，省去译者姓名。</w:t>
      </w:r>
    </w:p>
    <w:p w14:paraId="79B4684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胡绳：《从鸦片战争到五四运动》上，上海人民出版社1982年版，第45页。</w:t>
      </w:r>
    </w:p>
    <w:p w14:paraId="191158A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朱维铮主编，李天纲等编校：《马相伯集》，复旦大学出版社1996年版，第33页。</w:t>
      </w:r>
    </w:p>
    <w:p w14:paraId="498348C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丁名楠等：《帝国主义侵华史》第1卷，人民出版社1986年版。（</w:t>
      </w:r>
      <w:r>
        <w:rPr>
          <w:rFonts w:hint="eastAsia"/>
          <w:color w:val="000000"/>
          <w:sz w:val="21"/>
          <w:szCs w:val="21"/>
        </w:rPr>
        <w:t>说明：原版权页题作者名为：丁名楠、余绳武、张振鵾 、沈自敏、李明仁、贾维诚、康右铭 著</w:t>
      </w:r>
      <w:r>
        <w:rPr>
          <w:rFonts w:ascii="楷体_GB2312" w:eastAsia="楷体_GB2312" w:hint="eastAsia"/>
          <w:color w:val="000000"/>
          <w:sz w:val="21"/>
          <w:szCs w:val="21"/>
        </w:rPr>
        <w:t>）</w:t>
      </w:r>
    </w:p>
    <w:p w14:paraId="4C8AC32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例4．1：</w:t>
      </w:r>
      <w:r>
        <w:rPr>
          <w:rFonts w:ascii="楷体_GB2312" w:eastAsia="楷体_GB2312" w:hint="eastAsia"/>
          <w:color w:val="000000"/>
          <w:sz w:val="21"/>
          <w:szCs w:val="21"/>
        </w:rPr>
        <w:t>A.施阿兰著，袁传璋、郑永慧译：《使华记（1893—1897）》，商务印书馆1989年版，第3页。</w:t>
      </w:r>
    </w:p>
    <w:p w14:paraId="026E252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例4．2：</w:t>
      </w:r>
      <w:r>
        <w:rPr>
          <w:rFonts w:ascii="楷体_GB2312" w:eastAsia="楷体_GB2312" w:hint="eastAsia"/>
          <w:color w:val="000000"/>
          <w:sz w:val="21"/>
          <w:szCs w:val="21"/>
        </w:rPr>
        <w:t>A.施阿兰：《使华记（1893</w:t>
      </w:r>
      <w:r>
        <w:rPr>
          <w:rFonts w:hint="eastAsia"/>
          <w:color w:val="000000"/>
          <w:sz w:val="21"/>
          <w:szCs w:val="21"/>
        </w:rPr>
        <w:t>—</w:t>
      </w:r>
      <w:r>
        <w:rPr>
          <w:rFonts w:ascii="楷体_GB2312" w:eastAsia="楷体_GB2312" w:hint="eastAsia"/>
          <w:color w:val="000000"/>
          <w:sz w:val="21"/>
          <w:szCs w:val="21"/>
        </w:rPr>
        <w:t>1897）》，第5页。</w:t>
      </w:r>
    </w:p>
    <w:p w14:paraId="569455E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（2）书名。</w:t>
      </w:r>
      <w:r>
        <w:rPr>
          <w:rFonts w:hint="eastAsia"/>
          <w:color w:val="000000"/>
          <w:sz w:val="21"/>
          <w:szCs w:val="21"/>
        </w:rPr>
        <w:t>书名内又含有书名，用单书名号标识；书名中有补充说明时间范围的文字，应放在书名号内；著作含有副题，在首次出现时应与正题一并标注，之后可省略副题；如书名较长，可在首次标注时加括注给出省略名称；不采用“前引书”的标注方式。</w:t>
      </w:r>
    </w:p>
    <w:p w14:paraId="13AF9D9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戴裔煊：《〈明史·佛郎机传〉笺正》，中国社会科学出版社1984年版，第10页。</w:t>
      </w:r>
    </w:p>
    <w:p w14:paraId="533D763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例2:</w:t>
      </w:r>
      <w:r>
        <w:rPr>
          <w:rFonts w:ascii="楷体_GB2312" w:eastAsia="楷体_GB2312" w:hint="eastAsia"/>
          <w:color w:val="000000"/>
          <w:sz w:val="21"/>
          <w:szCs w:val="21"/>
        </w:rPr>
        <w:t> </w:t>
      </w:r>
      <w:r>
        <w:rPr>
          <w:rFonts w:ascii="楷体_GB2312" w:eastAsia="楷体_GB2312" w:hint="eastAsia"/>
          <w:color w:val="000000"/>
          <w:sz w:val="21"/>
          <w:szCs w:val="21"/>
        </w:rPr>
        <w:t>徐鼎新、钱小明：《上海总商会史（1902—1929）》，上海社会科学院出版社1991年版，第135页。</w:t>
      </w:r>
    </w:p>
    <w:p w14:paraId="77ECAC9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例3.1：</w:t>
      </w:r>
      <w:r>
        <w:rPr>
          <w:rFonts w:ascii="楷体_GB2312" w:eastAsia="楷体_GB2312" w:hint="eastAsia"/>
          <w:color w:val="000000"/>
          <w:sz w:val="21"/>
          <w:szCs w:val="21"/>
        </w:rPr>
        <w:t>桑兵：《国学与汉学</w:t>
      </w:r>
      <w:r>
        <w:rPr>
          <w:rFonts w:hint="eastAsia"/>
          <w:color w:val="000000"/>
          <w:sz w:val="21"/>
          <w:szCs w:val="21"/>
        </w:rPr>
        <w:t>——</w:t>
      </w:r>
      <w:r>
        <w:rPr>
          <w:rFonts w:ascii="楷体_GB2312" w:eastAsia="楷体_GB2312" w:hint="eastAsia"/>
          <w:color w:val="000000"/>
          <w:sz w:val="21"/>
          <w:szCs w:val="21"/>
        </w:rPr>
        <w:t>近代中外学界交往录》，浙江人民出版社1997年版，第6页。</w:t>
      </w:r>
    </w:p>
    <w:p w14:paraId="4DA6E95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例3.2：</w:t>
      </w:r>
      <w:r>
        <w:rPr>
          <w:rFonts w:ascii="楷体_GB2312" w:eastAsia="楷体_GB2312" w:hint="eastAsia"/>
          <w:color w:val="000000"/>
          <w:sz w:val="21"/>
          <w:szCs w:val="21"/>
        </w:rPr>
        <w:t>桑兵：《国学与汉学》，第10页。</w:t>
      </w:r>
    </w:p>
    <w:p w14:paraId="175179A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ascii="楷体_GB2312" w:eastAsia="楷体_GB2312" w:hint="eastAsia"/>
          <w:color w:val="000000"/>
          <w:sz w:val="21"/>
          <w:szCs w:val="21"/>
        </w:rPr>
        <w:t>谢伟思著，王益等译：《美国对华政策（1944—1945）：“美亚文件”和美中关系史上的若干问题》（以下简称《美国对华政策》），中国社会科学出版社1989年版，第7页。</w:t>
      </w:r>
    </w:p>
    <w:p w14:paraId="2BB4E27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（3）卷册。</w:t>
      </w:r>
      <w:r>
        <w:rPr>
          <w:rFonts w:hint="eastAsia"/>
          <w:color w:val="000000"/>
          <w:sz w:val="21"/>
          <w:szCs w:val="21"/>
        </w:rPr>
        <w:t>部分图书的卷册后还有补充说明的文字，可以用括注的形式表示。</w:t>
      </w:r>
    </w:p>
    <w:p w14:paraId="5560F78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曹树基：《中国人口史》第4卷（明时期），复旦大学出版社2000年版，第9页。</w:t>
      </w:r>
    </w:p>
    <w:p w14:paraId="0404B90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（4）出版信息。</w:t>
      </w:r>
      <w:r>
        <w:rPr>
          <w:rFonts w:hint="eastAsia"/>
          <w:color w:val="000000"/>
          <w:sz w:val="21"/>
          <w:szCs w:val="21"/>
        </w:rPr>
        <w:t>①同一著作含不同卷册，每一卷册第一次征引时均需注明出版者及出版时间。再次征引同一著作的同一卷册时，省去出版信息。②港澳台地区及国外出版的图书应标明出版地点。③影印版的图书要标明是影印版。④出版者及出版时间不完整时，须将所缺项目说明。</w:t>
      </w:r>
    </w:p>
    <w:p w14:paraId="443B2A3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例1.1：</w:t>
      </w:r>
      <w:r>
        <w:rPr>
          <w:rFonts w:ascii="楷体_GB2312" w:eastAsia="楷体_GB2312" w:hint="eastAsia"/>
          <w:color w:val="000000"/>
          <w:sz w:val="21"/>
          <w:szCs w:val="21"/>
        </w:rPr>
        <w:t>丁名楠等：《帝国主义侵华史》第1卷，人民出版社1986年版，第5页。</w:t>
      </w:r>
    </w:p>
    <w:p w14:paraId="2CCF76A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例1.2：</w:t>
      </w:r>
      <w:r>
        <w:rPr>
          <w:rFonts w:ascii="楷体_GB2312" w:eastAsia="楷体_GB2312" w:hint="eastAsia"/>
          <w:color w:val="000000"/>
          <w:sz w:val="21"/>
          <w:szCs w:val="21"/>
        </w:rPr>
        <w:t>丁名楠等：《帝国主义侵华史》第1卷，第8页。</w:t>
      </w:r>
    </w:p>
    <w:p w14:paraId="2E084D2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例2.1：</w:t>
      </w:r>
      <w:r>
        <w:rPr>
          <w:rFonts w:ascii="楷体_GB2312" w:eastAsia="楷体_GB2312" w:hint="eastAsia"/>
          <w:color w:val="000000"/>
          <w:sz w:val="21"/>
          <w:szCs w:val="21"/>
        </w:rPr>
        <w:t>丁名楠等：《帝国主义侵华史》第2卷，人民出版社1986年版，第20页。</w:t>
      </w:r>
    </w:p>
    <w:p w14:paraId="0F855CA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例2.2：</w:t>
      </w:r>
      <w:r>
        <w:rPr>
          <w:rFonts w:ascii="楷体_GB2312" w:eastAsia="楷体_GB2312" w:hint="eastAsia"/>
          <w:color w:val="000000"/>
          <w:sz w:val="21"/>
          <w:szCs w:val="21"/>
        </w:rPr>
        <w:t>丁名楠等：《帝国主义侵华史》第2卷，第15页。</w:t>
      </w:r>
    </w:p>
    <w:p w14:paraId="0A40AAC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刘寿林编：《辛亥以后十七年职官年表》，台北，文海出版社1974年影印版，第3页。</w:t>
      </w:r>
    </w:p>
    <w:p w14:paraId="6DE4063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ascii="楷体_GB2312" w:eastAsia="楷体_GB2312" w:hint="eastAsia"/>
          <w:color w:val="000000"/>
          <w:sz w:val="21"/>
          <w:szCs w:val="21"/>
        </w:rPr>
        <w:t>冯玉祥：《我的读书生活》，三户图书刊行社，出版时间不详，第12页。</w:t>
      </w:r>
    </w:p>
    <w:p w14:paraId="5FCEF36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2.析出文献。</w:t>
      </w:r>
    </w:p>
    <w:p w14:paraId="215C694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（1）文章。</w:t>
      </w:r>
      <w:r>
        <w:rPr>
          <w:rFonts w:hint="eastAsia"/>
          <w:color w:val="000000"/>
          <w:sz w:val="21"/>
          <w:szCs w:val="21"/>
        </w:rPr>
        <w:t>标注的基本项目和顺序为：①作者姓名；②篇名；③编者姓名，如与文章作者为同一人，可略去；④书名；⑤卷册数；⑥出版者及出版时间；⑦页码。</w:t>
      </w:r>
    </w:p>
    <w:p w14:paraId="714048E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（2）文件、档案、书信等。</w:t>
      </w:r>
      <w:r>
        <w:rPr>
          <w:rFonts w:hint="eastAsia"/>
          <w:color w:val="000000"/>
          <w:sz w:val="21"/>
          <w:szCs w:val="21"/>
        </w:rPr>
        <w:t>要在所引文档名后用圆括号标注成文时间。日记集要在书名后标出所引内容的成文时间。</w:t>
      </w:r>
    </w:p>
    <w:p w14:paraId="4A39738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（3）图书中序跋、前言、后记、按语、编辑说明等。</w:t>
      </w:r>
      <w:r>
        <w:rPr>
          <w:rFonts w:hint="eastAsia"/>
          <w:color w:val="000000"/>
          <w:sz w:val="21"/>
          <w:szCs w:val="21"/>
        </w:rPr>
        <w:t>如果其为作者自己所写，用引号标示于书名之后，如果由别人所写，或虽由作者自己所写，但有单独标题，应作为析出文献标注。</w:t>
      </w:r>
    </w:p>
    <w:p w14:paraId="1912B38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罗志田：《林纾的认同危机与民初的新旧之争》，《权势转移：近代中国的思想、社会与学术》，湖北人民出版社1999年版，第283页。</w:t>
      </w:r>
    </w:p>
    <w:p w14:paraId="7D7E0A9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《中共中央最近政治状况报告》（1927年10月）</w:t>
      </w:r>
      <w:r>
        <w:rPr>
          <w:rStyle w:val="a8"/>
          <w:rFonts w:ascii="楷体_GB2312" w:eastAsia="楷体_GB2312" w:hint="eastAsia"/>
          <w:color w:val="000000"/>
          <w:sz w:val="21"/>
          <w:szCs w:val="21"/>
        </w:rPr>
        <w:t>，</w:t>
      </w:r>
      <w:r>
        <w:rPr>
          <w:rFonts w:ascii="楷体_GB2312" w:eastAsia="楷体_GB2312" w:hint="eastAsia"/>
          <w:color w:val="000000"/>
          <w:sz w:val="21"/>
          <w:szCs w:val="21"/>
        </w:rPr>
        <w:t>中央档案馆编：《中共中央政治报告选辑（1927─1933）》，中共中央党校出版社1983年版，第20页。</w:t>
      </w:r>
    </w:p>
    <w:p w14:paraId="67687CA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 xml:space="preserve">《复孙毓修函》（1911年6月3日），高平叔、王世儒编注：《蔡元培书信集》上，浙江教育出版社2000年版，第99页。 </w:t>
      </w:r>
      <w:r>
        <w:rPr>
          <w:rFonts w:ascii="楷体_GB2312" w:eastAsia="楷体_GB2312" w:hint="eastAsia"/>
          <w:color w:val="000000"/>
          <w:sz w:val="21"/>
          <w:szCs w:val="21"/>
        </w:rPr>
        <w:t>  </w:t>
      </w:r>
    </w:p>
    <w:p w14:paraId="2E82BEA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ascii="楷体_GB2312" w:eastAsia="楷体_GB2312" w:hint="eastAsia"/>
          <w:color w:val="000000"/>
          <w:sz w:val="21"/>
          <w:szCs w:val="21"/>
        </w:rPr>
        <w:t>曹伯言整理：《胡适日记全编》第3册</w:t>
      </w:r>
      <w:r>
        <w:rPr>
          <w:rStyle w:val="a8"/>
          <w:rFonts w:ascii="楷体_GB2312" w:eastAsia="楷体_GB2312" w:hint="eastAsia"/>
          <w:color w:val="000000"/>
          <w:sz w:val="21"/>
          <w:szCs w:val="21"/>
        </w:rPr>
        <w:t>，</w:t>
      </w:r>
      <w:r>
        <w:rPr>
          <w:rFonts w:ascii="楷体_GB2312" w:eastAsia="楷体_GB2312" w:hint="eastAsia"/>
          <w:color w:val="000000"/>
          <w:sz w:val="21"/>
          <w:szCs w:val="21"/>
        </w:rPr>
        <w:t>1922年5月14日，安徽教育出版社2001年版</w:t>
      </w:r>
      <w:r>
        <w:rPr>
          <w:rStyle w:val="a8"/>
          <w:rFonts w:ascii="楷体_GB2312" w:eastAsia="楷体_GB2312" w:hint="eastAsia"/>
          <w:color w:val="000000"/>
          <w:sz w:val="21"/>
          <w:szCs w:val="21"/>
        </w:rPr>
        <w:t>，</w:t>
      </w:r>
      <w:r>
        <w:rPr>
          <w:rFonts w:ascii="楷体_GB2312" w:eastAsia="楷体_GB2312" w:hint="eastAsia"/>
          <w:color w:val="000000"/>
          <w:sz w:val="21"/>
          <w:szCs w:val="21"/>
        </w:rPr>
        <w:t>第666—667页。</w:t>
      </w:r>
    </w:p>
    <w:p w14:paraId="68D8D80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例5：</w:t>
      </w:r>
      <w:r>
        <w:rPr>
          <w:rFonts w:ascii="楷体_GB2312" w:eastAsia="楷体_GB2312" w:hint="eastAsia"/>
          <w:color w:val="000000"/>
          <w:sz w:val="21"/>
          <w:szCs w:val="21"/>
        </w:rPr>
        <w:t>李鹏程：《当代文化哲学沉思》，“序言”，人民出版社1994年版，第1页。</w:t>
      </w:r>
    </w:p>
    <w:p w14:paraId="61E513D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例6：</w:t>
      </w:r>
      <w:r>
        <w:rPr>
          <w:rFonts w:ascii="楷体_GB2312" w:eastAsia="楷体_GB2312" w:hint="eastAsia"/>
          <w:color w:val="000000"/>
          <w:sz w:val="21"/>
          <w:szCs w:val="21"/>
        </w:rPr>
        <w:t>李文海：《〈晚清政治革命新论〉序》，郭世佑：《晚清政治革命新论》，湖南人民出版社1997年版，第6页。</w:t>
      </w:r>
    </w:p>
    <w:p w14:paraId="2C37AE0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例7：</w:t>
      </w:r>
      <w:r>
        <w:rPr>
          <w:rFonts w:ascii="楷体_GB2312" w:eastAsia="楷体_GB2312" w:hint="eastAsia"/>
          <w:color w:val="000000"/>
          <w:sz w:val="21"/>
          <w:szCs w:val="21"/>
        </w:rPr>
        <w:t>黄仁宇：《为什么称为“中国大历史”？──中文版自序》，《中国大历史》，生活·读书·新知三联书店1997年版，第3页。</w:t>
      </w:r>
    </w:p>
    <w:p w14:paraId="6F1CD50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3.古籍及方志。</w:t>
      </w:r>
    </w:p>
    <w:p w14:paraId="40246E9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古籍的标注与普通图书基本相同，但成书过程比较复杂的先秦典籍，如四书五经；常用的基本典籍，如二十四史、《资治通鉴》，书名中含有作者姓名的文集，如《陶渊明集》；官修的大型典籍，如《明实录》《大清会典》等可不标注作者。极少数常用经典古籍可只标书名和篇名，用中圆点连接，如：《论语·学而》。有些书籍作者失传，用“佚名”标注。地方志一般不标注作者、版本，只注书名，前面冠以修纂成书时的年号（年代）。古籍及方志的卷次、页码也用阿拉伯数字标示。</w:t>
      </w:r>
    </w:p>
    <w:p w14:paraId="50B4629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210" w:right="30"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</w:t>
      </w:r>
      <w:r>
        <w:rPr>
          <w:rFonts w:ascii="楷体_GB2312" w:eastAsia="楷体_GB2312" w:hint="eastAsia"/>
          <w:color w:val="000000"/>
          <w:sz w:val="21"/>
          <w:szCs w:val="21"/>
        </w:rPr>
        <w:t>：光绪《代州志》第3卷，“地理志·物产”，第3页。</w:t>
      </w:r>
    </w:p>
    <w:p w14:paraId="33360CE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210" w:right="30"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民国《番禺县续志》第9卷，“政经三·房捐”， 第10页。</w:t>
      </w:r>
    </w:p>
    <w:p w14:paraId="3B98A9B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4．期刊。</w:t>
      </w:r>
    </w:p>
    <w:p w14:paraId="6AB2CD9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项目和顺序为：①作者姓名；②文章名称；③期刊名称，港澳台地区的期刊应在刊名前注明出版地点；④卷册号或期号、出版时间，出刊周期短于半月者如旬刊、周刊、日刊等，出版时间精确到日；⑤页码，以栏目、文章单独编辑页码的，在页码后加括号注明栏页或文页，整篇提及不需要加页码。</w:t>
      </w:r>
    </w:p>
    <w:p w14:paraId="6886992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步平：《改革开放与中国近代史研究》，《近代史研究》2009年第5期。</w:t>
      </w:r>
    </w:p>
    <w:p w14:paraId="0EADA7C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蒋永敬：《孙中山先生晚年北上与废约运动》，台北《近代中国》第152期,2002年12月，第28页。</w:t>
      </w:r>
    </w:p>
    <w:p w14:paraId="370A9C3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上海商业储蓄银行调查部：《十年来上海现金流动之观察》（二），《银行周报》第16卷第41号，1932年10月25日。</w:t>
      </w:r>
    </w:p>
    <w:p w14:paraId="2D17CDC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ascii="楷体_GB2312" w:eastAsia="楷体_GB2312" w:hint="eastAsia"/>
          <w:color w:val="000000"/>
          <w:sz w:val="21"/>
          <w:szCs w:val="21"/>
        </w:rPr>
        <w:t>《川东官话字母学堂招生》，《广益丛报》第5年第13期，1907年8月7日，第12页（栏页）。</w:t>
      </w:r>
    </w:p>
    <w:p w14:paraId="053E6FC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例5：</w:t>
      </w:r>
      <w:r>
        <w:rPr>
          <w:rFonts w:ascii="楷体_GB2312" w:eastAsia="楷体_GB2312" w:hint="eastAsia"/>
          <w:color w:val="000000"/>
          <w:sz w:val="21"/>
          <w:szCs w:val="21"/>
        </w:rPr>
        <w:t>顾颉刚：《中学校本国史教科书编纂法的商榷》，《教育杂志》第14卷第4号，1922年4月，第14页（文页）。</w:t>
      </w:r>
    </w:p>
    <w:p w14:paraId="47525A3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5．报纸。</w:t>
      </w:r>
    </w:p>
    <w:p w14:paraId="3D5BC9A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基本项目和顺序是：①作者姓名；②文章名称；③报纸名称，有同名的报纸应在报纸名称前标明出版地点；④出版年、月、日；⑤版次。栏目名如需标示，放在出版时间后，用引号标出。影印版按图书方式标注。</w:t>
      </w:r>
    </w:p>
    <w:p w14:paraId="05548F3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天仇：《自由与秩序》，《民权报》，1912年3月28日，第2版。</w:t>
      </w:r>
    </w:p>
    <w:p w14:paraId="180738F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《江苏省党务报告》，上海《民国日报》，1929年3月21日，第6版。</w:t>
      </w:r>
    </w:p>
    <w:p w14:paraId="68219C4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《科举谈》，《申报》，1912年2月12日，“自由谈”，第8版。</w:t>
      </w:r>
    </w:p>
    <w:p w14:paraId="6C75E26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ascii="楷体_GB2312" w:eastAsia="楷体_GB2312" w:hint="eastAsia"/>
          <w:color w:val="000000"/>
          <w:sz w:val="21"/>
          <w:szCs w:val="21"/>
        </w:rPr>
        <w:t>《说国债》，《申报》第57册，1897年10月3日，上海书店1983年影印版，第195页。</w:t>
      </w:r>
    </w:p>
    <w:p w14:paraId="017B7E9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6．外文文献。</w:t>
      </w:r>
    </w:p>
    <w:p w14:paraId="79B4DD71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lastRenderedPageBreak/>
        <w:t>原则上全部使用外文及外文一般注释格式</w:t>
      </w:r>
      <w:r>
        <w:rPr>
          <w:rFonts w:hint="eastAsia"/>
          <w:color w:val="000000"/>
          <w:sz w:val="21"/>
          <w:szCs w:val="21"/>
        </w:rPr>
        <w:t>。</w:t>
      </w:r>
    </w:p>
    <w:p w14:paraId="2AA02FC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（1）图书。</w:t>
      </w:r>
      <w:r>
        <w:rPr>
          <w:rFonts w:hint="eastAsia"/>
          <w:color w:val="000000"/>
          <w:sz w:val="21"/>
          <w:szCs w:val="21"/>
        </w:rPr>
        <w:t>标注的基本项目及顺序为：①责任者姓名，名在前（可简写），姓在后；②书名，如书名较长，再次征引时可只标注书名主要部分，其余略去；③卷册数；④出版地、出版者及出版时间，用圆括号括起，同一著作只在首次出现时标注；⑤页码。</w:t>
      </w:r>
    </w:p>
    <w:p w14:paraId="5E56217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（2）编辑图书。</w:t>
      </w:r>
      <w:r>
        <w:rPr>
          <w:rFonts w:hint="eastAsia"/>
          <w:color w:val="000000"/>
          <w:sz w:val="21"/>
          <w:szCs w:val="21"/>
        </w:rPr>
        <w:t>标注的基本项目及顺序为：①作者姓名；②篇名；③编辑者姓名，单个编者姓名后加（ed.）,合编加（eds.）；④书名；⑤卷册数；⑥出版地、出版者及出版时间；⑦页码。</w:t>
      </w:r>
    </w:p>
    <w:p w14:paraId="294DA35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（3）期刊、报纸</w:t>
      </w:r>
      <w:r>
        <w:rPr>
          <w:rFonts w:hint="eastAsia"/>
          <w:color w:val="000000"/>
          <w:sz w:val="21"/>
          <w:szCs w:val="21"/>
        </w:rPr>
        <w:t>。标注的基本项目和顺序是：①作者姓名；②析出文献名称，用双引号括起；③期刊、报纸名称，用斜体；④刊物卷册号与期号；⑤出版年、月、日。</w:t>
      </w:r>
    </w:p>
    <w:p w14:paraId="2280691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所引文献在原书不跨页，表示方法为“</w:t>
      </w:r>
      <w:r>
        <w:rPr>
          <w:rStyle w:val="a8"/>
          <w:rFonts w:hint="eastAsia"/>
          <w:color w:val="000000"/>
          <w:sz w:val="21"/>
          <w:szCs w:val="21"/>
        </w:rPr>
        <w:t>p.×”</w:t>
      </w:r>
      <w:r>
        <w:rPr>
          <w:rFonts w:hint="eastAsia"/>
          <w:color w:val="000000"/>
          <w:sz w:val="21"/>
          <w:szCs w:val="21"/>
        </w:rPr>
        <w:t>），引文跨页或散见两页以上，表示方法为“</w:t>
      </w:r>
      <w:r>
        <w:rPr>
          <w:rStyle w:val="a8"/>
          <w:rFonts w:hint="eastAsia"/>
          <w:color w:val="000000"/>
          <w:sz w:val="21"/>
          <w:szCs w:val="21"/>
        </w:rPr>
        <w:t>pp. ×—××, ××”</w:t>
      </w:r>
      <w:r>
        <w:rPr>
          <w:rFonts w:hint="eastAsia"/>
          <w:color w:val="000000"/>
          <w:sz w:val="21"/>
          <w:szCs w:val="21"/>
        </w:rPr>
        <w:t>）；注释中纯系英文，句末用英文句点，如中英文混用，句末用中文句号。</w:t>
      </w:r>
    </w:p>
    <w:p w14:paraId="334D914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 D. H. Perkins, </w:t>
      </w:r>
      <w:r>
        <w:rPr>
          <w:rStyle w:val="a9"/>
          <w:rFonts w:hint="eastAsia"/>
          <w:color w:val="000000"/>
          <w:sz w:val="21"/>
          <w:szCs w:val="21"/>
        </w:rPr>
        <w:t>Agricultural Development in China, 1368-1968 </w:t>
      </w:r>
      <w:r>
        <w:rPr>
          <w:rFonts w:hint="eastAsia"/>
          <w:color w:val="000000"/>
          <w:sz w:val="21"/>
          <w:szCs w:val="21"/>
        </w:rPr>
        <w:t>(Chicago: Aldine Publishing Company, 1969), p.66.</w:t>
      </w:r>
    </w:p>
    <w:p w14:paraId="41CBCB9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例2：Jin Qiming and Li Wei, “China’s Rural Settlement Patterns,” in Ronald G. Knapp(ed.),</w:t>
      </w:r>
      <w:r>
        <w:rPr>
          <w:rStyle w:val="a9"/>
          <w:rFonts w:hint="eastAsia"/>
          <w:color w:val="000000"/>
          <w:sz w:val="21"/>
          <w:szCs w:val="21"/>
        </w:rPr>
        <w:t> Chinese Landscapes: The Village as Place </w:t>
      </w:r>
      <w:r>
        <w:rPr>
          <w:rFonts w:hint="eastAsia"/>
          <w:color w:val="000000"/>
          <w:sz w:val="21"/>
          <w:szCs w:val="21"/>
        </w:rPr>
        <w:t>(Honolulu: University of Hawaii Press, 1992), pp.17-18, 20.</w:t>
      </w:r>
    </w:p>
    <w:p w14:paraId="424DC4B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例3：转引自Timothy Brook, “The Tokyo Judgement and the Rape of Nanking,”</w:t>
      </w:r>
      <w:r>
        <w:rPr>
          <w:rStyle w:val="a9"/>
          <w:rFonts w:hint="eastAsia"/>
          <w:color w:val="000000"/>
          <w:sz w:val="21"/>
          <w:szCs w:val="21"/>
        </w:rPr>
        <w:t>The Journal of Asian Studies</w:t>
      </w:r>
      <w:r>
        <w:rPr>
          <w:rFonts w:hint="eastAsia"/>
          <w:color w:val="000000"/>
          <w:sz w:val="21"/>
          <w:szCs w:val="21"/>
        </w:rPr>
        <w:t>, Vol.60, No.3(2001)。</w:t>
      </w:r>
    </w:p>
    <w:p w14:paraId="3C811D3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例4.1：</w:t>
      </w:r>
      <w:r>
        <w:rPr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1"/>
          <w:szCs w:val="21"/>
        </w:rPr>
        <w:t>Michael Sheng，</w:t>
      </w:r>
      <w:r>
        <w:rPr>
          <w:rStyle w:val="a9"/>
          <w:rFonts w:hint="eastAsia"/>
          <w:color w:val="000000"/>
          <w:sz w:val="21"/>
          <w:szCs w:val="21"/>
        </w:rPr>
        <w:t>Battling Western Imperialism：Mao，Stalin，and the United States</w:t>
      </w:r>
      <w:r>
        <w:rPr>
          <w:rFonts w:hint="eastAsia"/>
          <w:color w:val="000000"/>
          <w:sz w:val="21"/>
          <w:szCs w:val="21"/>
        </w:rPr>
        <w:t>（Princeton：Princeton University Press，1997），p.186.</w:t>
      </w:r>
    </w:p>
    <w:p w14:paraId="404A944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例4.2：Michael Sheng，</w:t>
      </w:r>
      <w:r>
        <w:rPr>
          <w:rStyle w:val="a9"/>
          <w:rFonts w:hint="eastAsia"/>
          <w:color w:val="000000"/>
          <w:sz w:val="21"/>
          <w:szCs w:val="21"/>
        </w:rPr>
        <w:t>Battling Western Imperialism</w:t>
      </w:r>
      <w:r>
        <w:rPr>
          <w:rFonts w:hint="eastAsia"/>
          <w:color w:val="000000"/>
          <w:sz w:val="21"/>
          <w:szCs w:val="21"/>
        </w:rPr>
        <w:t>，pp.186-188.</w:t>
      </w:r>
    </w:p>
    <w:p w14:paraId="08285F9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例5：菊池一隆「日中15年戦争論再考」、歴史科学協議会編『歴史評論』第五九六号、1997年9月、４頁。</w:t>
      </w:r>
    </w:p>
    <w:p w14:paraId="0FE6C80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例6：小沢一郎『日本改造計画』、講談社、1993年、185頁、187頁。</w:t>
      </w:r>
    </w:p>
    <w:p w14:paraId="23941DD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例7：三千一郎「戦争責任と民族性」、『東京朝日新聞』夕刊、1938年12月１日。</w:t>
      </w:r>
    </w:p>
    <w:p w14:paraId="0449998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7.未刊文献。</w:t>
      </w:r>
    </w:p>
    <w:p w14:paraId="16936A0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（1）档案</w:t>
      </w:r>
      <w:r>
        <w:rPr>
          <w:rFonts w:hint="eastAsia"/>
          <w:color w:val="000000"/>
          <w:sz w:val="21"/>
          <w:szCs w:val="21"/>
        </w:rPr>
        <w:t>。</w:t>
      </w:r>
    </w:p>
    <w:p w14:paraId="305802F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中文档案标注的项目和顺序是：①文件名称，加书名号；②时间；③藏所；④全宗名称；⑤档案编号。档案编号依照原档案编号格式标注。</w:t>
      </w:r>
    </w:p>
    <w:p w14:paraId="3B765E7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例1：《</w:t>
      </w:r>
      <w:r>
        <w:rPr>
          <w:rFonts w:ascii="楷体_GB2312" w:eastAsia="楷体_GB2312" w:hint="eastAsia"/>
          <w:color w:val="000000"/>
          <w:sz w:val="21"/>
          <w:szCs w:val="21"/>
        </w:rPr>
        <w:t>傅良佐致国务院电》（1917年9月15日），中国第二历史档案馆藏，北洋档案，1011/5961。</w:t>
      </w:r>
    </w:p>
    <w:p w14:paraId="4713304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《外交部致顾维钧电》（1947年6月27日），台北，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ascii="楷体_GB2312" w:eastAsia="楷体_GB2312" w:hint="eastAsia"/>
          <w:color w:val="000000"/>
          <w:sz w:val="21"/>
          <w:szCs w:val="21"/>
        </w:rPr>
        <w:t>国史馆</w:t>
      </w:r>
      <w:r>
        <w:rPr>
          <w:rFonts w:hint="eastAsia"/>
          <w:color w:val="000000"/>
          <w:sz w:val="21"/>
          <w:szCs w:val="21"/>
        </w:rPr>
        <w:t>”</w:t>
      </w:r>
      <w:r>
        <w:rPr>
          <w:rFonts w:ascii="楷体_GB2312" w:eastAsia="楷体_GB2312" w:hint="eastAsia"/>
          <w:color w:val="000000"/>
          <w:sz w:val="21"/>
          <w:szCs w:val="21"/>
        </w:rPr>
        <w:t>藏，外交部档案，020000038589A。</w:t>
      </w:r>
    </w:p>
    <w:p w14:paraId="462F27D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《顾维钧致外交部电》（1947年8月23日），台北，中研院近代史研究所档案馆藏，外交部档案，11-01-02-15-07-010。</w:t>
      </w:r>
    </w:p>
    <w:p w14:paraId="1A1786F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外文档案标注格式参照各档案馆要求和该语种通行格式标注。</w:t>
      </w:r>
    </w:p>
    <w:p w14:paraId="13A0BBB9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JACAR（アジア歴史資料センター）Ref.A01000012800、太政類典?第二編?明治四年～明治十年　第八十五巻（国立公文書館）。</w:t>
      </w:r>
    </w:p>
    <w:p w14:paraId="184E5877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</w:t>
      </w:r>
      <w:r>
        <w:rPr>
          <w:rFonts w:ascii="楷体_GB2312" w:eastAsia="楷体_GB2312" w:hint="eastAsia"/>
          <w:color w:val="000000"/>
          <w:sz w:val="21"/>
          <w:szCs w:val="21"/>
        </w:rPr>
        <w:t>：JACAR（アジア歴史資料センター）Ref.B02030938800（第58画像目から）、共産党宣伝関係雑件／対日宣伝関係 第三巻（A.3.4）（外務省外交史料館）。</w:t>
      </w:r>
    </w:p>
    <w:p w14:paraId="10A47FC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150" w:right="30" w:firstLine="31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ascii="楷体_GB2312" w:eastAsia="楷体_GB2312" w:hint="eastAsia"/>
          <w:color w:val="000000"/>
          <w:sz w:val="21"/>
          <w:szCs w:val="21"/>
        </w:rPr>
        <w:t>JACAR（アジア歴史資料センター）Ref.C01004996400、自昭和5年1月～至昭和6年12月「來翰綴（陸普） 第1部」（防衛省防衛研究所）。</w:t>
      </w:r>
    </w:p>
    <w:p w14:paraId="11C7F2F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150" w:right="30" w:firstLine="21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（2）手稿。</w:t>
      </w:r>
      <w:r>
        <w:rPr>
          <w:rFonts w:hint="eastAsia"/>
          <w:color w:val="000000"/>
          <w:sz w:val="21"/>
          <w:szCs w:val="21"/>
        </w:rPr>
        <w:t>征引未出版的手稿时，要标明藏所，藏所后加一“藏”字。</w:t>
      </w:r>
    </w:p>
    <w:p w14:paraId="3EC1454D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陈序经：《文化论丛》（手稿），南开大学图书馆藏，第1页。</w:t>
      </w:r>
    </w:p>
    <w:p w14:paraId="178C64B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例2：《</w:t>
      </w:r>
      <w:r>
        <w:rPr>
          <w:rFonts w:ascii="楷体_GB2312" w:eastAsia="楷体_GB2312" w:hint="eastAsia"/>
          <w:color w:val="000000"/>
          <w:sz w:val="21"/>
          <w:szCs w:val="21"/>
        </w:rPr>
        <w:t>蒋介石日记》（手稿），1948年8月6日，斯坦福大学胡佛研究所档案馆藏，下同。</w:t>
      </w:r>
    </w:p>
    <w:p w14:paraId="00001D0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    (3)学位论文。</w:t>
      </w:r>
      <w:r>
        <w:rPr>
          <w:rFonts w:hint="eastAsia"/>
          <w:color w:val="000000"/>
          <w:sz w:val="21"/>
          <w:szCs w:val="21"/>
        </w:rPr>
        <w:t>征引未出版的学位论文中的内容，要标明作者、文题、学位论文等级、学位授予机构、时间及页码。</w:t>
      </w:r>
    </w:p>
    <w:p w14:paraId="1F66E5B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例: </w:t>
      </w:r>
      <w:r>
        <w:rPr>
          <w:rFonts w:ascii="楷体_GB2312" w:eastAsia="楷体_GB2312" w:hint="eastAsia"/>
          <w:color w:val="000000"/>
          <w:sz w:val="21"/>
          <w:szCs w:val="21"/>
        </w:rPr>
        <w:t>方明东：《罗隆基政治思想研究（1913—1949）》，博士学位论文，北京师范大学历史系，2000年，第67页。</w:t>
      </w:r>
    </w:p>
    <w:p w14:paraId="4986A81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a8"/>
          <w:rFonts w:hint="eastAsia"/>
          <w:color w:val="000000"/>
          <w:sz w:val="21"/>
          <w:szCs w:val="21"/>
        </w:rPr>
        <w:t>(4)会议论文。</w:t>
      </w:r>
      <w:r>
        <w:rPr>
          <w:rFonts w:hint="eastAsia"/>
          <w:color w:val="000000"/>
          <w:sz w:val="21"/>
          <w:szCs w:val="21"/>
        </w:rPr>
        <w:t>征引未出版的会议论文中的内容，要标明作者，文题，会议名称（用双引号括起）、地点及时间。</w:t>
      </w:r>
    </w:p>
    <w:p w14:paraId="4DEA89F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例:</w:t>
      </w:r>
      <w:r>
        <w:rPr>
          <w:rFonts w:ascii="楷体_GB2312" w:eastAsia="楷体_GB2312" w:hint="eastAsia"/>
          <w:color w:val="000000"/>
          <w:sz w:val="21"/>
          <w:szCs w:val="21"/>
        </w:rPr>
        <w:t>中岛乐章：《明前期徽州的民事诉讼个案研究》，“国际徽学研讨会”论文，安徽绩溪，1998年。</w:t>
      </w:r>
    </w:p>
    <w:p w14:paraId="39BB90E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8.</w:t>
      </w:r>
      <w:r>
        <w:rPr>
          <w:rStyle w:val="a8"/>
          <w:rFonts w:hint="eastAsia"/>
          <w:color w:val="000000"/>
          <w:sz w:val="21"/>
          <w:szCs w:val="21"/>
        </w:rPr>
        <w:t>网络资料。</w:t>
      </w:r>
    </w:p>
    <w:p w14:paraId="6BB22B3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摘引互联网上资料，必须核实内容，标明网址及下载日期，引用者自行保留网页。</w:t>
      </w:r>
    </w:p>
    <w:p w14:paraId="2D315D5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《霍揆彰致国民政府军务局转呈蒋主席电》（1946年7月13日），转引自《台湾“蒋介石档案”中的闻一多被刺事件资料（二）》，《闻一多研究动态》第85期，2010年6月，近代中国研究网：</w:t>
      </w:r>
      <w:hyperlink r:id="rId6" w:history="1">
        <w:r>
          <w:rPr>
            <w:rStyle w:val="aa"/>
            <w:rFonts w:ascii="楷体_GB2312" w:eastAsia="楷体_GB2312" w:hint="eastAsia"/>
            <w:color w:val="000000"/>
          </w:rPr>
          <w:t>http://jds.cass.cn/Article/20100625102224.asp</w:t>
        </w:r>
      </w:hyperlink>
      <w:r>
        <w:rPr>
          <w:rFonts w:ascii="楷体_GB2312" w:eastAsia="楷体_GB2312" w:hint="eastAsia"/>
          <w:color w:val="000000"/>
          <w:sz w:val="21"/>
          <w:szCs w:val="21"/>
        </w:rPr>
        <w:t>，2010年6月21日。</w:t>
      </w:r>
    </w:p>
    <w:p w14:paraId="59D588A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6FE91AAE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right="30" w:firstLine="42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5CB16A2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right="30" w:firstLine="420"/>
        <w:jc w:val="center"/>
        <w:rPr>
          <w:color w:val="000000"/>
          <w:sz w:val="27"/>
          <w:szCs w:val="27"/>
        </w:rPr>
      </w:pPr>
      <w:r>
        <w:rPr>
          <w:rFonts w:ascii="隶书" w:eastAsia="隶书" w:hint="eastAsia"/>
          <w:color w:val="000000"/>
          <w:sz w:val="32"/>
          <w:szCs w:val="32"/>
        </w:rPr>
        <w:t>四、其他</w:t>
      </w:r>
    </w:p>
    <w:p w14:paraId="1D41B455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/>
        <w:ind w:right="30" w:firstLine="42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7CAFDEC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（一）课题项目</w:t>
      </w:r>
    </w:p>
    <w:p w14:paraId="020206C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63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课题项目名称用双引号括起，项目编号放圆括号内。</w:t>
      </w:r>
    </w:p>
    <w:p w14:paraId="22C9F634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105" w:firstLine="525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例：本文系教育部人文社会科学重点研究基地重大项目“近代中国人对日本的认识与态度”（06JJD770012）的中期成果之一。</w:t>
      </w:r>
    </w:p>
    <w:p w14:paraId="38F6E57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72CCBB2C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（二）政协文史资料</w:t>
      </w:r>
    </w:p>
    <w:p w14:paraId="33357DB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各级“人民政治协商会议”简称“全国政协”、“××省（市、县）政协”等，内部出版的政协文史资料须注明编印年。</w:t>
      </w:r>
    </w:p>
    <w:p w14:paraId="2625DE7B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ascii="楷体_GB2312" w:eastAsia="楷体_GB2312" w:hint="eastAsia"/>
          <w:color w:val="000000"/>
          <w:sz w:val="21"/>
          <w:szCs w:val="21"/>
        </w:rPr>
        <w:t>张治中：《第五军参加淞沪抗日战役的经过》，全国政协文史资料研究委员会编：《文史资料选辑》第37辑，中华书局1979年版，第15页。</w:t>
      </w:r>
    </w:p>
    <w:p w14:paraId="15D4E336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例2：</w:t>
      </w:r>
      <w:r>
        <w:rPr>
          <w:rFonts w:ascii="楷体_GB2312" w:eastAsia="楷体_GB2312" w:hint="eastAsia"/>
          <w:color w:val="000000"/>
          <w:sz w:val="21"/>
          <w:szCs w:val="21"/>
        </w:rPr>
        <w:t>曾克林：《回忆党中央对争取东北的战略决策》，《沈阳文史资料》第3辑，沈阳市政协文史资料研究委员会1982年编印，第16页。</w:t>
      </w:r>
    </w:p>
    <w:p w14:paraId="231D4FE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368E4C98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（三）</w:t>
      </w: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沈云龙主编《近代中国史料丛刊》及其续编、三编，须在书名后标出总顺序号</w:t>
      </w:r>
    </w:p>
    <w:p w14:paraId="0C1D459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王照：《小航文存》，沈云龙主编：《近代中国史料丛刊》（265），台北，文海出版社</w:t>
      </w:r>
    </w:p>
    <w:p w14:paraId="5A03EB6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1969年版，第141页</w:t>
      </w:r>
      <w:r>
        <w:rPr>
          <w:rStyle w:val="a8"/>
          <w:rFonts w:hint="eastAsia"/>
          <w:color w:val="000000"/>
          <w:sz w:val="21"/>
          <w:szCs w:val="21"/>
        </w:rPr>
        <w:t>。</w:t>
      </w:r>
    </w:p>
    <w:p w14:paraId="6369B82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69CBDC0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（四）1989年中华书局版梁启超《饮冰室合集》，须标出各集名称及卷数</w:t>
      </w:r>
    </w:p>
    <w:p w14:paraId="4CC4190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梁启超：《清代学术概论》，《饮冰室合集》专集之三十四，中华书局1989年版，第</w:t>
      </w:r>
    </w:p>
    <w:p w14:paraId="1A004B3A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57—58页。</w:t>
      </w:r>
    </w:p>
    <w:p w14:paraId="1852C052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14:paraId="39A8D1DF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firstLine="525"/>
        <w:rPr>
          <w:color w:val="000000"/>
          <w:sz w:val="27"/>
          <w:szCs w:val="27"/>
        </w:rPr>
      </w:pPr>
      <w:r>
        <w:rPr>
          <w:rStyle w:val="a8"/>
          <w:rFonts w:ascii="黑体" w:eastAsia="黑体" w:hAnsi="黑体" w:hint="eastAsia"/>
          <w:color w:val="000000"/>
          <w:sz w:val="21"/>
          <w:szCs w:val="21"/>
        </w:rPr>
        <w:t>（五）《中华民国史档案资料汇编》，须标出辑数、编数及分类名称和册数</w:t>
      </w:r>
    </w:p>
    <w:p w14:paraId="1C8827D0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ind w:left="420" w:firstLine="10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ascii="楷体_GB2312" w:eastAsia="楷体_GB2312" w:hint="eastAsia"/>
          <w:color w:val="000000"/>
          <w:sz w:val="21"/>
          <w:szCs w:val="21"/>
        </w:rPr>
        <w:t>中国第二历史档案馆编：《中华民国史档案资料汇编》第5辑第1编，“财政经济”（1），</w:t>
      </w:r>
    </w:p>
    <w:p w14:paraId="2E6C1B33" w14:textId="77777777" w:rsidR="00460641" w:rsidRDefault="00460641" w:rsidP="0046064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江苏古籍出版社1994年版，第6页。</w:t>
      </w:r>
    </w:p>
    <w:p w14:paraId="045C35B1" w14:textId="77777777" w:rsidR="00EE7F22" w:rsidRPr="00460641" w:rsidRDefault="00E765DF"/>
    <w:sectPr w:rsidR="00EE7F22" w:rsidRPr="0046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49BE" w14:textId="77777777" w:rsidR="00E765DF" w:rsidRDefault="00E765DF" w:rsidP="00460641">
      <w:r>
        <w:separator/>
      </w:r>
    </w:p>
  </w:endnote>
  <w:endnote w:type="continuationSeparator" w:id="0">
    <w:p w14:paraId="536DD72B" w14:textId="77777777" w:rsidR="00E765DF" w:rsidRDefault="00E765DF" w:rsidP="004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D6D6" w14:textId="77777777" w:rsidR="00E765DF" w:rsidRDefault="00E765DF" w:rsidP="00460641">
      <w:r>
        <w:separator/>
      </w:r>
    </w:p>
  </w:footnote>
  <w:footnote w:type="continuationSeparator" w:id="0">
    <w:p w14:paraId="48661F2F" w14:textId="77777777" w:rsidR="00E765DF" w:rsidRDefault="00E765DF" w:rsidP="0046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AD"/>
    <w:rsid w:val="001249B0"/>
    <w:rsid w:val="00302B53"/>
    <w:rsid w:val="00342331"/>
    <w:rsid w:val="003A6C32"/>
    <w:rsid w:val="00460641"/>
    <w:rsid w:val="005B6701"/>
    <w:rsid w:val="00685100"/>
    <w:rsid w:val="007F3C96"/>
    <w:rsid w:val="007F46AE"/>
    <w:rsid w:val="00A762AD"/>
    <w:rsid w:val="00A953B5"/>
    <w:rsid w:val="00AE2CF8"/>
    <w:rsid w:val="00E765DF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BAE"/>
  <w15:chartTrackingRefBased/>
  <w15:docId w15:val="{3C3A08A1-1FA4-4F55-8977-DA1832EC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6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60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0641"/>
    <w:rPr>
      <w:b/>
      <w:bCs/>
    </w:rPr>
  </w:style>
  <w:style w:type="character" w:styleId="a9">
    <w:name w:val="Emphasis"/>
    <w:basedOn w:val="a0"/>
    <w:uiPriority w:val="20"/>
    <w:qFormat/>
    <w:rsid w:val="00460641"/>
    <w:rPr>
      <w:i/>
      <w:iCs/>
    </w:rPr>
  </w:style>
  <w:style w:type="character" w:styleId="aa">
    <w:name w:val="Hyperlink"/>
    <w:basedOn w:val="a0"/>
    <w:uiPriority w:val="99"/>
    <w:semiHidden/>
    <w:unhideWhenUsed/>
    <w:rsid w:val="0046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ds.cass.cn/Article/20100625102224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1145</Words>
  <Characters>6533</Characters>
  <Application>Microsoft Office Word</Application>
  <DocSecurity>0</DocSecurity>
  <Lines>54</Lines>
  <Paragraphs>15</Paragraphs>
  <ScaleCrop>false</ScaleCrop>
  <Company>神州网信技术有限公司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小琳 杨</cp:lastModifiedBy>
  <cp:revision>3</cp:revision>
  <dcterms:created xsi:type="dcterms:W3CDTF">2021-05-19T06:02:00Z</dcterms:created>
  <dcterms:modified xsi:type="dcterms:W3CDTF">2021-05-19T06:12:00Z</dcterms:modified>
</cp:coreProperties>
</file>